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1E18" w14:textId="6A34C95B" w:rsidR="000A21FC" w:rsidRPr="00346BFC" w:rsidRDefault="004833B7" w:rsidP="003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cs="Calibri"/>
          <w:b/>
          <w:bCs/>
          <w:color w:val="000000"/>
          <w:szCs w:val="22"/>
        </w:rPr>
      </w:pPr>
      <w:r w:rsidRPr="00346BFC">
        <w:rPr>
          <w:rFonts w:cs="Calibri"/>
          <w:b/>
          <w:bCs/>
          <w:color w:val="000000"/>
          <w:szCs w:val="22"/>
        </w:rPr>
        <w:t>PRE-SEASON CONCUSSION EDUCATION SHEET</w:t>
      </w:r>
    </w:p>
    <w:p w14:paraId="3F5955D3"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IS A CONCUSSION?</w:t>
      </w:r>
    </w:p>
    <w:p w14:paraId="613E5658"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A concussion is a brain injury that can’t be seen on x-rays, CT or MRI scans. It affects the way an athlete thinks and can cause a variety of symptoms. </w:t>
      </w:r>
    </w:p>
    <w:p w14:paraId="2F834DE1"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CAUSES A CONCUSSION?</w:t>
      </w:r>
    </w:p>
    <w:p w14:paraId="5B4F7765"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Any blow to the head, face or neck, or somewhere else on the body that causes a sudden jarring of the head may cause a concussion. Examples include getting body-checked in hockey or hitting one’s head on the floor in gym class.</w:t>
      </w:r>
    </w:p>
    <w:p w14:paraId="12A4428C"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WHEN SHOULD I SUSPECT A CONCUSSION?</w:t>
      </w:r>
    </w:p>
    <w:p w14:paraId="4299BB11"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A concussion should be suspected in any athlete who sustains a significant impact to the head, face, neck, or body and reports </w:t>
      </w:r>
      <w:r w:rsidRPr="00346BFC">
        <w:rPr>
          <w:rFonts w:cs="Calibri"/>
          <w:i/>
          <w:iCs/>
          <w:color w:val="000000"/>
          <w:sz w:val="22"/>
          <w:szCs w:val="22"/>
        </w:rPr>
        <w:t>ANY</w:t>
      </w:r>
      <w:r w:rsidRPr="00346BFC">
        <w:rPr>
          <w:rFonts w:cs="Calibri"/>
          <w:color w:val="000000"/>
          <w:sz w:val="22"/>
          <w:szCs w:val="22"/>
        </w:rPr>
        <w:t xml:space="preserve"> symptoms or demonstrates </w:t>
      </w:r>
      <w:r w:rsidRPr="00346BFC">
        <w:rPr>
          <w:rFonts w:cs="Calibri"/>
          <w:i/>
          <w:iCs/>
          <w:color w:val="000000"/>
          <w:sz w:val="22"/>
          <w:szCs w:val="22"/>
        </w:rPr>
        <w:t>ANY</w:t>
      </w:r>
      <w:r w:rsidRPr="00346BFC">
        <w:rPr>
          <w:rFonts w:cs="Calibri"/>
          <w:color w:val="000000"/>
          <w:sz w:val="22"/>
          <w:szCs w:val="22"/>
        </w:rPr>
        <w:t xml:space="preserve"> visual signs of a concussion. A concussion should also be suspected if an athlete reports ANY concussion symptoms to one of their peers, parents, teachers, or coaches or if anyone witnesses an athlete exhibiting ANY of the visual signs of concussion. Some athletes will develop symptoms immediately while others will develop delayed symptoms (beginning 24-48 hours after the injury).</w:t>
      </w:r>
    </w:p>
    <w:p w14:paraId="1EAA5C96"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ARE THE SYMPTOMS OF A CONCUSSION?</w:t>
      </w:r>
    </w:p>
    <w:p w14:paraId="3D4C076C" w14:textId="08AE9F11" w:rsidR="005476BB" w:rsidRPr="00346BFC" w:rsidRDefault="000A21FC" w:rsidP="000D606B">
      <w:pPr>
        <w:pStyle w:val="ParagraphBody"/>
        <w:spacing w:after="80"/>
        <w:rPr>
          <w:rFonts w:ascii="Calibri" w:hAnsi="Calibri"/>
          <w:b/>
          <w:sz w:val="22"/>
          <w:szCs w:val="22"/>
        </w:rPr>
      </w:pPr>
      <w:r w:rsidRPr="00346BFC">
        <w:rPr>
          <w:rFonts w:ascii="Calibri" w:hAnsi="Calibri" w:cs="Calibri"/>
          <w:color w:val="000000"/>
          <w:sz w:val="22"/>
          <w:szCs w:val="22"/>
        </w:rPr>
        <w:t>A person does not need to be knocked out (lose consciousness) to have had a concussion. Common symptoms include:</w:t>
      </w:r>
    </w:p>
    <w:tbl>
      <w:tblPr>
        <w:tblStyle w:val="TableGrid"/>
        <w:tblW w:w="98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68D82" w:themeFill="accent2" w:themeFillTint="66"/>
        <w:tblLook w:val="00A0" w:firstRow="1" w:lastRow="0" w:firstColumn="1" w:lastColumn="0" w:noHBand="0" w:noVBand="0"/>
      </w:tblPr>
      <w:tblGrid>
        <w:gridCol w:w="4820"/>
        <w:gridCol w:w="5008"/>
      </w:tblGrid>
      <w:tr w:rsidR="000A21FC" w:rsidRPr="00346BFC" w14:paraId="2983681B" w14:textId="77777777" w:rsidTr="0041626B">
        <w:trPr>
          <w:trHeight w:hRule="exact" w:val="278"/>
        </w:trPr>
        <w:tc>
          <w:tcPr>
            <w:tcW w:w="4820" w:type="dxa"/>
            <w:shd w:val="clear" w:color="auto" w:fill="E68D82" w:themeFill="accent2" w:themeFillTint="66"/>
          </w:tcPr>
          <w:p w14:paraId="5830B5B5"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Headaches or head pressure</w:t>
            </w:r>
          </w:p>
        </w:tc>
        <w:tc>
          <w:tcPr>
            <w:tcW w:w="5008" w:type="dxa"/>
            <w:shd w:val="clear" w:color="auto" w:fill="E68D82" w:themeFill="accent2" w:themeFillTint="66"/>
          </w:tcPr>
          <w:p w14:paraId="5FB7CEB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Easily upset or angered</w:t>
            </w:r>
          </w:p>
        </w:tc>
      </w:tr>
      <w:tr w:rsidR="000A21FC" w:rsidRPr="00346BFC" w14:paraId="07691B0E" w14:textId="77777777" w:rsidTr="0041626B">
        <w:trPr>
          <w:trHeight w:hRule="exact" w:val="278"/>
        </w:trPr>
        <w:tc>
          <w:tcPr>
            <w:tcW w:w="4820" w:type="dxa"/>
            <w:shd w:val="clear" w:color="auto" w:fill="E68D82" w:themeFill="accent2" w:themeFillTint="66"/>
          </w:tcPr>
          <w:p w14:paraId="313D8AC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Dizziness</w:t>
            </w:r>
          </w:p>
        </w:tc>
        <w:tc>
          <w:tcPr>
            <w:tcW w:w="5008" w:type="dxa"/>
            <w:shd w:val="clear" w:color="auto" w:fill="E68D82" w:themeFill="accent2" w:themeFillTint="66"/>
          </w:tcPr>
          <w:p w14:paraId="2102E71E"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Sadness</w:t>
            </w:r>
          </w:p>
        </w:tc>
      </w:tr>
      <w:tr w:rsidR="000A21FC" w:rsidRPr="00346BFC" w14:paraId="6A101830" w14:textId="77777777" w:rsidTr="0041626B">
        <w:trPr>
          <w:trHeight w:hRule="exact" w:val="278"/>
        </w:trPr>
        <w:tc>
          <w:tcPr>
            <w:tcW w:w="4820" w:type="dxa"/>
            <w:shd w:val="clear" w:color="auto" w:fill="E68D82" w:themeFill="accent2" w:themeFillTint="66"/>
          </w:tcPr>
          <w:p w14:paraId="663FA18E"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Nausea and vomiting</w:t>
            </w:r>
          </w:p>
        </w:tc>
        <w:tc>
          <w:tcPr>
            <w:tcW w:w="5008" w:type="dxa"/>
            <w:shd w:val="clear" w:color="auto" w:fill="E68D82" w:themeFill="accent2" w:themeFillTint="66"/>
          </w:tcPr>
          <w:p w14:paraId="3225AAA4"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Nervousness or anxiety</w:t>
            </w:r>
          </w:p>
        </w:tc>
      </w:tr>
      <w:tr w:rsidR="000A21FC" w:rsidRPr="00346BFC" w14:paraId="2851A1D6" w14:textId="77777777" w:rsidTr="0041626B">
        <w:trPr>
          <w:trHeight w:hRule="exact" w:val="278"/>
        </w:trPr>
        <w:tc>
          <w:tcPr>
            <w:tcW w:w="4820" w:type="dxa"/>
            <w:shd w:val="clear" w:color="auto" w:fill="E68D82" w:themeFill="accent2" w:themeFillTint="66"/>
          </w:tcPr>
          <w:p w14:paraId="067CD5A3"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Blurred or fuzzy vision</w:t>
            </w:r>
          </w:p>
        </w:tc>
        <w:tc>
          <w:tcPr>
            <w:tcW w:w="5008" w:type="dxa"/>
            <w:shd w:val="clear" w:color="auto" w:fill="E68D82" w:themeFill="accent2" w:themeFillTint="66"/>
          </w:tcPr>
          <w:p w14:paraId="7E1C8CC7"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Feeling more emotional</w:t>
            </w:r>
          </w:p>
        </w:tc>
      </w:tr>
      <w:tr w:rsidR="000A21FC" w:rsidRPr="00346BFC" w14:paraId="65F1BD98" w14:textId="77777777" w:rsidTr="0041626B">
        <w:trPr>
          <w:trHeight w:hRule="exact" w:val="278"/>
        </w:trPr>
        <w:tc>
          <w:tcPr>
            <w:tcW w:w="4820" w:type="dxa"/>
            <w:shd w:val="clear" w:color="auto" w:fill="E68D82" w:themeFill="accent2" w:themeFillTint="66"/>
          </w:tcPr>
          <w:p w14:paraId="5EBA45D0"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Sensitivity to light or sound</w:t>
            </w:r>
          </w:p>
        </w:tc>
        <w:tc>
          <w:tcPr>
            <w:tcW w:w="5008" w:type="dxa"/>
            <w:shd w:val="clear" w:color="auto" w:fill="E68D82" w:themeFill="accent2" w:themeFillTint="66"/>
          </w:tcPr>
          <w:p w14:paraId="2B1529C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Sleeping more or sleeping less</w:t>
            </w:r>
          </w:p>
        </w:tc>
      </w:tr>
      <w:tr w:rsidR="000A21FC" w:rsidRPr="00346BFC" w14:paraId="25A8EE5C" w14:textId="77777777" w:rsidTr="0041626B">
        <w:trPr>
          <w:trHeight w:hRule="exact" w:val="278"/>
        </w:trPr>
        <w:tc>
          <w:tcPr>
            <w:tcW w:w="4820" w:type="dxa"/>
            <w:shd w:val="clear" w:color="auto" w:fill="E68D82" w:themeFill="accent2" w:themeFillTint="66"/>
          </w:tcPr>
          <w:p w14:paraId="0603506E"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Balance problems</w:t>
            </w:r>
          </w:p>
        </w:tc>
        <w:tc>
          <w:tcPr>
            <w:tcW w:w="5008" w:type="dxa"/>
            <w:shd w:val="clear" w:color="auto" w:fill="E68D82" w:themeFill="accent2" w:themeFillTint="66"/>
          </w:tcPr>
          <w:p w14:paraId="48314821"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 xml:space="preserve">Having a hard time falling asleep </w:t>
            </w:r>
          </w:p>
        </w:tc>
      </w:tr>
      <w:tr w:rsidR="000A21FC" w:rsidRPr="00346BFC" w14:paraId="07F0BFF1" w14:textId="77777777" w:rsidTr="0041626B">
        <w:trPr>
          <w:trHeight w:hRule="exact" w:val="278"/>
        </w:trPr>
        <w:tc>
          <w:tcPr>
            <w:tcW w:w="4820" w:type="dxa"/>
            <w:shd w:val="clear" w:color="auto" w:fill="E68D82" w:themeFill="accent2" w:themeFillTint="66"/>
          </w:tcPr>
          <w:p w14:paraId="5CCD0720"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Feeling tired or having no energy</w:t>
            </w:r>
          </w:p>
        </w:tc>
        <w:tc>
          <w:tcPr>
            <w:tcW w:w="5008" w:type="dxa"/>
            <w:shd w:val="clear" w:color="auto" w:fill="E68D82" w:themeFill="accent2" w:themeFillTint="66"/>
          </w:tcPr>
          <w:p w14:paraId="4097504F"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Difficulty working on a computer</w:t>
            </w:r>
          </w:p>
        </w:tc>
      </w:tr>
      <w:tr w:rsidR="000A21FC" w:rsidRPr="00346BFC" w14:paraId="23A84CAD" w14:textId="77777777" w:rsidTr="0041626B">
        <w:trPr>
          <w:trHeight w:hRule="exact" w:val="278"/>
        </w:trPr>
        <w:tc>
          <w:tcPr>
            <w:tcW w:w="4820" w:type="dxa"/>
            <w:shd w:val="clear" w:color="auto" w:fill="E68D82" w:themeFill="accent2" w:themeFillTint="66"/>
          </w:tcPr>
          <w:p w14:paraId="3A0040D7"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Not thinking clearly</w:t>
            </w:r>
          </w:p>
        </w:tc>
        <w:tc>
          <w:tcPr>
            <w:tcW w:w="5008" w:type="dxa"/>
            <w:shd w:val="clear" w:color="auto" w:fill="E68D82" w:themeFill="accent2" w:themeFillTint="66"/>
          </w:tcPr>
          <w:p w14:paraId="36C44C1A"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Difficulty reading</w:t>
            </w:r>
          </w:p>
        </w:tc>
      </w:tr>
      <w:tr w:rsidR="000A21FC" w:rsidRPr="00346BFC" w14:paraId="35D1F47D" w14:textId="77777777" w:rsidTr="0041626B">
        <w:trPr>
          <w:trHeight w:hRule="exact" w:val="278"/>
        </w:trPr>
        <w:tc>
          <w:tcPr>
            <w:tcW w:w="4820" w:type="dxa"/>
            <w:shd w:val="clear" w:color="auto" w:fill="E68D82" w:themeFill="accent2" w:themeFillTint="66"/>
          </w:tcPr>
          <w:p w14:paraId="0A924A6A"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Feeling slowed down</w:t>
            </w:r>
          </w:p>
        </w:tc>
        <w:tc>
          <w:tcPr>
            <w:tcW w:w="5008" w:type="dxa"/>
            <w:shd w:val="clear" w:color="auto" w:fill="E68D82" w:themeFill="accent2" w:themeFillTint="66"/>
          </w:tcPr>
          <w:p w14:paraId="293D7583" w14:textId="77777777" w:rsidR="000A21FC" w:rsidRPr="00024E46" w:rsidRDefault="000A21FC" w:rsidP="00024E46">
            <w:pPr>
              <w:pStyle w:val="ListParagraph"/>
              <w:numPr>
                <w:ilvl w:val="0"/>
                <w:numId w:val="6"/>
              </w:numPr>
              <w:rPr>
                <w:rFonts w:cs="Arial"/>
                <w:sz w:val="22"/>
                <w:szCs w:val="22"/>
              </w:rPr>
            </w:pPr>
            <w:r w:rsidRPr="00024E46">
              <w:rPr>
                <w:rFonts w:cs="Arial"/>
                <w:sz w:val="22"/>
                <w:szCs w:val="22"/>
              </w:rPr>
              <w:t>Difficulty learning new information</w:t>
            </w:r>
          </w:p>
        </w:tc>
      </w:tr>
    </w:tbl>
    <w:p w14:paraId="348BFF42" w14:textId="77777777" w:rsidR="000A21FC" w:rsidRPr="00D7793A" w:rsidRDefault="000A21FC" w:rsidP="0054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2"/>
        </w:rPr>
      </w:pPr>
    </w:p>
    <w:p w14:paraId="31549BF8"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ARE THE VISUAL SIGNS OF A CONCUSSION?</w:t>
      </w:r>
    </w:p>
    <w:p w14:paraId="5C706D23" w14:textId="05D4C5FE" w:rsidR="000A21FC" w:rsidRPr="00346BFC" w:rsidRDefault="000A21FC" w:rsidP="000D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Calibri"/>
          <w:color w:val="000000"/>
          <w:sz w:val="22"/>
          <w:szCs w:val="22"/>
        </w:rPr>
      </w:pPr>
      <w:r w:rsidRPr="00346BFC">
        <w:rPr>
          <w:rFonts w:cs="Calibri"/>
          <w:color w:val="000000"/>
          <w:sz w:val="22"/>
          <w:szCs w:val="22"/>
        </w:rPr>
        <w:t>Visual signs of a concussion may include:</w:t>
      </w:r>
    </w:p>
    <w:tbl>
      <w:tblPr>
        <w:tblStyle w:val="TableGrid"/>
        <w:tblW w:w="98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68D82" w:themeFill="accent2" w:themeFillTint="66"/>
        <w:tblLook w:val="00A0" w:firstRow="1" w:lastRow="0" w:firstColumn="1" w:lastColumn="0" w:noHBand="0" w:noVBand="0"/>
      </w:tblPr>
      <w:tblGrid>
        <w:gridCol w:w="5020"/>
        <w:gridCol w:w="4841"/>
      </w:tblGrid>
      <w:tr w:rsidR="002673B8" w:rsidRPr="00346BFC" w14:paraId="3BBF4FF1" w14:textId="77777777" w:rsidTr="0041626B">
        <w:trPr>
          <w:trHeight w:hRule="exact" w:val="278"/>
        </w:trPr>
        <w:tc>
          <w:tcPr>
            <w:tcW w:w="5020" w:type="dxa"/>
            <w:shd w:val="clear" w:color="auto" w:fill="E68D82" w:themeFill="accent2" w:themeFillTint="66"/>
          </w:tcPr>
          <w:p w14:paraId="3E4A7EC8"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Lying motionless on the playing surface</w:t>
            </w:r>
          </w:p>
        </w:tc>
        <w:tc>
          <w:tcPr>
            <w:tcW w:w="4841" w:type="dxa"/>
            <w:shd w:val="clear" w:color="auto" w:fill="E68D82" w:themeFill="accent2" w:themeFillTint="66"/>
          </w:tcPr>
          <w:p w14:paraId="4AEE8709"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Blank or vacant stare</w:t>
            </w:r>
          </w:p>
        </w:tc>
      </w:tr>
      <w:tr w:rsidR="002673B8" w:rsidRPr="00346BFC" w14:paraId="7B75E267" w14:textId="77777777" w:rsidTr="0041626B">
        <w:trPr>
          <w:trHeight w:val="558"/>
        </w:trPr>
        <w:tc>
          <w:tcPr>
            <w:tcW w:w="5020" w:type="dxa"/>
            <w:shd w:val="clear" w:color="auto" w:fill="E68D82" w:themeFill="accent2" w:themeFillTint="66"/>
          </w:tcPr>
          <w:p w14:paraId="356AAB11"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Slow to get up after a direct or indirect hit to the head</w:t>
            </w:r>
          </w:p>
        </w:tc>
        <w:tc>
          <w:tcPr>
            <w:tcW w:w="4841" w:type="dxa"/>
            <w:shd w:val="clear" w:color="auto" w:fill="E68D82" w:themeFill="accent2" w:themeFillTint="66"/>
          </w:tcPr>
          <w:p w14:paraId="58316ED6"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 xml:space="preserve">Balance, gait difficulties, motor incoordination, stumbling, slow labored movements </w:t>
            </w:r>
          </w:p>
        </w:tc>
      </w:tr>
      <w:tr w:rsidR="002673B8" w:rsidRPr="00346BFC" w14:paraId="05A6F72B" w14:textId="77777777" w:rsidTr="0041626B">
        <w:trPr>
          <w:trHeight w:val="577"/>
        </w:trPr>
        <w:tc>
          <w:tcPr>
            <w:tcW w:w="5020" w:type="dxa"/>
            <w:shd w:val="clear" w:color="auto" w:fill="E68D82" w:themeFill="accent2" w:themeFillTint="66"/>
          </w:tcPr>
          <w:p w14:paraId="747B8160"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Disorientation or confusion or inability to respond appropriately to questions</w:t>
            </w:r>
          </w:p>
        </w:tc>
        <w:tc>
          <w:tcPr>
            <w:tcW w:w="4841" w:type="dxa"/>
            <w:shd w:val="clear" w:color="auto" w:fill="E68D82" w:themeFill="accent2" w:themeFillTint="66"/>
          </w:tcPr>
          <w:p w14:paraId="411F38BC"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Facial injury after head trauma</w:t>
            </w:r>
          </w:p>
          <w:p w14:paraId="65D05DAF" w14:textId="77777777" w:rsidR="000A21FC" w:rsidRPr="00024E46" w:rsidRDefault="000A21FC" w:rsidP="00024E46">
            <w:pPr>
              <w:pStyle w:val="ListParagraph"/>
              <w:numPr>
                <w:ilvl w:val="0"/>
                <w:numId w:val="8"/>
              </w:numPr>
              <w:rPr>
                <w:rFonts w:cs="Arial"/>
                <w:sz w:val="22"/>
                <w:szCs w:val="22"/>
              </w:rPr>
            </w:pPr>
            <w:r w:rsidRPr="00024E46">
              <w:rPr>
                <w:rFonts w:cs="Arial"/>
                <w:sz w:val="22"/>
                <w:szCs w:val="22"/>
              </w:rPr>
              <w:t>Clutching head</w:t>
            </w:r>
          </w:p>
        </w:tc>
      </w:tr>
    </w:tbl>
    <w:p w14:paraId="5DD87FB3"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2"/>
        </w:rPr>
      </w:pPr>
    </w:p>
    <w:p w14:paraId="3753FF71"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SHOULD I DO IF I SUSPECT A CONCUSSION?</w:t>
      </w:r>
    </w:p>
    <w:p w14:paraId="2C7B7376"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rPr>
      </w:pPr>
      <w:r w:rsidRPr="00346BFC">
        <w:rPr>
          <w:rFonts w:cs="Calibri"/>
          <w:color w:val="000000"/>
          <w:sz w:val="22"/>
          <w:szCs w:val="22"/>
        </w:rPr>
        <w:t>If any athlete is suspected of sustaining a concussion during sports they should be immediately removed from play. Any athlete who is suspected of having sustained a concussion during sports must not be allowed to return to the same game or practice.</w:t>
      </w:r>
    </w:p>
    <w:p w14:paraId="3A45CA17" w14:textId="77777777" w:rsidR="004833B7" w:rsidRDefault="004833B7"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FB0207"/>
          <w:sz w:val="22"/>
          <w:szCs w:val="22"/>
        </w:rPr>
      </w:pPr>
    </w:p>
    <w:p w14:paraId="3D3D82B6" w14:textId="2266AF9F" w:rsid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FB0207"/>
          <w:sz w:val="22"/>
          <w:szCs w:val="22"/>
        </w:rPr>
      </w:pPr>
      <w:r w:rsidRPr="00FF63A4">
        <w:rPr>
          <w:rFonts w:cs="Calibri"/>
          <w:b/>
          <w:color w:val="FB0207"/>
          <w:sz w:val="22"/>
          <w:szCs w:val="22"/>
        </w:rPr>
        <w:t xml:space="preserve">It is important that ALL athletes with a suspected concussion undergo medical assessment by a medical doctor or nurse practitioner, as soon as possible. It is also important that ALL athletes with a suspected concussion receive written medical clearance from a medical doctor or nurse practitioner before returning </w:t>
      </w:r>
      <w:r w:rsidRPr="00FF63A4">
        <w:rPr>
          <w:rFonts w:cs="Calibri"/>
          <w:b/>
          <w:color w:val="FB0207"/>
          <w:sz w:val="22"/>
          <w:szCs w:val="22"/>
        </w:rPr>
        <w:lastRenderedPageBreak/>
        <w:t>to sport activities.</w:t>
      </w:r>
    </w:p>
    <w:p w14:paraId="586C2361" w14:textId="77777777" w:rsidR="004833B7" w:rsidRPr="004833B7" w:rsidRDefault="004833B7" w:rsidP="004833B7">
      <w:pPr>
        <w:pStyle w:val="NoSpacing"/>
      </w:pPr>
    </w:p>
    <w:p w14:paraId="56475DD8" w14:textId="7BCC5BAD"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FB0207"/>
          <w:sz w:val="22"/>
          <w:szCs w:val="22"/>
        </w:rPr>
      </w:pPr>
      <w:r w:rsidRPr="00346BFC">
        <w:rPr>
          <w:rFonts w:cs="Calibri"/>
          <w:b/>
          <w:bCs/>
          <w:color w:val="000000"/>
          <w:sz w:val="22"/>
          <w:szCs w:val="22"/>
        </w:rPr>
        <w:t>WHEN CAN THE ATHLETE RETURN TO SCHOOL AND SPORTS?</w:t>
      </w:r>
    </w:p>
    <w:p w14:paraId="3AEA46E2" w14:textId="76604F9F" w:rsidR="000F671B"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346BFC">
        <w:rPr>
          <w:rFonts w:cs="Calibri"/>
          <w:color w:val="000000"/>
          <w:sz w:val="22"/>
          <w:szCs w:val="22"/>
        </w:rPr>
        <w:t>It is important that all athletes diagnosed with a concussion follow a step-wise return to school and sports-related activities that includes the following Return-to-School and Return-to-Sport Strategies. It is important that youth and adult student-athletes return to full-time school activities before progressing to stage 5 and 6 of the Return-to-Sport Strategy.</w:t>
      </w:r>
    </w:p>
    <w:p w14:paraId="6DC1974A" w14:textId="77777777" w:rsidR="00D7793A" w:rsidRPr="00D7793A" w:rsidRDefault="00D7793A" w:rsidP="00D7793A">
      <w:pPr>
        <w:pStyle w:val="NoSpacing"/>
      </w:pPr>
    </w:p>
    <w:p w14:paraId="36D5DEE8" w14:textId="45D528D9" w:rsidR="00D7793A" w:rsidRPr="00D7793A" w:rsidRDefault="0073527F" w:rsidP="00D77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bCs/>
          <w:sz w:val="22"/>
          <w:szCs w:val="22"/>
          <w:vertAlign w:val="superscript"/>
        </w:rPr>
      </w:pPr>
      <w:r w:rsidRPr="00346BFC">
        <w:rPr>
          <w:rFonts w:cs="Calibri"/>
          <w:b/>
          <w:bCs/>
          <w:sz w:val="22"/>
          <w:szCs w:val="22"/>
        </w:rPr>
        <w:t>Return-to-School Strategy</w:t>
      </w:r>
      <w:r w:rsidR="00FB7B3B" w:rsidRPr="00346BFC">
        <w:rPr>
          <w:rFonts w:cs="Calibri"/>
          <w:bCs/>
          <w:sz w:val="22"/>
          <w:szCs w:val="22"/>
          <w:vertAlign w:val="superscript"/>
        </w:rPr>
        <w:t>1</w:t>
      </w:r>
    </w:p>
    <w:tbl>
      <w:tblPr>
        <w:tblStyle w:val="GridTable1Light-Accent2"/>
        <w:tblW w:w="9667" w:type="dxa"/>
        <w:tblLayout w:type="fixed"/>
        <w:tblLook w:val="04A0" w:firstRow="1" w:lastRow="0" w:firstColumn="1" w:lastColumn="0" w:noHBand="0" w:noVBand="1"/>
      </w:tblPr>
      <w:tblGrid>
        <w:gridCol w:w="812"/>
        <w:gridCol w:w="1701"/>
        <w:gridCol w:w="3544"/>
        <w:gridCol w:w="3610"/>
      </w:tblGrid>
      <w:tr w:rsidR="00123F07" w:rsidRPr="00346BFC" w14:paraId="5DC2F1E7" w14:textId="77777777" w:rsidTr="00024E4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12" w:type="dxa"/>
          </w:tcPr>
          <w:p w14:paraId="08864B20" w14:textId="77777777" w:rsidR="000F671B" w:rsidRPr="009D06D3" w:rsidRDefault="000F671B" w:rsidP="00BD6950">
            <w:pPr>
              <w:pStyle w:val="ParagraphSubheading"/>
              <w:rPr>
                <w:rFonts w:ascii="Calibri" w:hAnsi="Calibri"/>
                <w:b/>
                <w:sz w:val="22"/>
                <w:szCs w:val="22"/>
              </w:rPr>
            </w:pPr>
            <w:r w:rsidRPr="009D06D3">
              <w:rPr>
                <w:rFonts w:ascii="Calibri" w:hAnsi="Calibri"/>
                <w:b/>
                <w:sz w:val="22"/>
                <w:szCs w:val="22"/>
              </w:rPr>
              <w:t>Stage</w:t>
            </w:r>
          </w:p>
        </w:tc>
        <w:tc>
          <w:tcPr>
            <w:tcW w:w="1701" w:type="dxa"/>
          </w:tcPr>
          <w:p w14:paraId="22FCBE07" w14:textId="77777777" w:rsidR="000F671B" w:rsidRPr="009D06D3" w:rsidRDefault="000F671B" w:rsidP="00BD6950">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9D06D3">
              <w:rPr>
                <w:rFonts w:ascii="Calibri" w:hAnsi="Calibri"/>
                <w:b/>
                <w:sz w:val="22"/>
                <w:szCs w:val="22"/>
              </w:rPr>
              <w:t>Aim</w:t>
            </w:r>
          </w:p>
        </w:tc>
        <w:tc>
          <w:tcPr>
            <w:tcW w:w="3544" w:type="dxa"/>
          </w:tcPr>
          <w:p w14:paraId="5512DD3F" w14:textId="77777777" w:rsidR="000F671B" w:rsidRPr="009D06D3" w:rsidRDefault="000F671B" w:rsidP="00BD6950">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9D06D3">
              <w:rPr>
                <w:rFonts w:ascii="Calibri" w:hAnsi="Calibri"/>
                <w:b/>
                <w:sz w:val="22"/>
                <w:szCs w:val="22"/>
              </w:rPr>
              <w:t>Activity</w:t>
            </w:r>
          </w:p>
        </w:tc>
        <w:tc>
          <w:tcPr>
            <w:tcW w:w="3610" w:type="dxa"/>
          </w:tcPr>
          <w:p w14:paraId="4FBE9766" w14:textId="77777777" w:rsidR="000F671B" w:rsidRPr="009D06D3" w:rsidRDefault="000F671B" w:rsidP="00BD6950">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2"/>
              </w:rPr>
            </w:pPr>
            <w:r w:rsidRPr="009D06D3">
              <w:rPr>
                <w:rFonts w:ascii="Calibri" w:hAnsi="Calibri"/>
                <w:b/>
                <w:sz w:val="22"/>
                <w:szCs w:val="22"/>
              </w:rPr>
              <w:t>Goal of each step</w:t>
            </w:r>
          </w:p>
        </w:tc>
      </w:tr>
      <w:tr w:rsidR="00123F07" w:rsidRPr="00346BFC" w14:paraId="54115D0D" w14:textId="77777777" w:rsidTr="006E15EA">
        <w:trPr>
          <w:trHeight w:val="1123"/>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1AC7208F"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1</w:t>
            </w:r>
          </w:p>
        </w:tc>
        <w:tc>
          <w:tcPr>
            <w:tcW w:w="1701" w:type="dxa"/>
          </w:tcPr>
          <w:p w14:paraId="6438C82B"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Daily activities at home that do not give the student-athlete symptoms</w:t>
            </w:r>
          </w:p>
        </w:tc>
        <w:tc>
          <w:tcPr>
            <w:tcW w:w="3544" w:type="dxa"/>
          </w:tcPr>
          <w:p w14:paraId="7163F8A1"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Typical activities during the day as long as they do not increase symptoms (i.e. reading, texting, screen time). Start at 5-15 minutes at a time and gradually build up.</w:t>
            </w:r>
          </w:p>
        </w:tc>
        <w:tc>
          <w:tcPr>
            <w:tcW w:w="3610" w:type="dxa"/>
          </w:tcPr>
          <w:p w14:paraId="23461E9E"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Gradual return to typical activities.</w:t>
            </w:r>
          </w:p>
        </w:tc>
      </w:tr>
      <w:tr w:rsidR="00123F07" w:rsidRPr="00346BFC" w14:paraId="23E46EB0" w14:textId="77777777" w:rsidTr="006E15EA">
        <w:trPr>
          <w:trHeight w:val="558"/>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392BAAC4"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2</w:t>
            </w:r>
          </w:p>
        </w:tc>
        <w:tc>
          <w:tcPr>
            <w:tcW w:w="1701" w:type="dxa"/>
          </w:tcPr>
          <w:p w14:paraId="5B430262"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School activities</w:t>
            </w:r>
          </w:p>
        </w:tc>
        <w:tc>
          <w:tcPr>
            <w:tcW w:w="3544" w:type="dxa"/>
          </w:tcPr>
          <w:p w14:paraId="34BF59FF"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Homework, reading or other cognitive activities outside of the classroom.</w:t>
            </w:r>
          </w:p>
        </w:tc>
        <w:tc>
          <w:tcPr>
            <w:tcW w:w="3610" w:type="dxa"/>
          </w:tcPr>
          <w:p w14:paraId="2BEC50CC"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Increase tolerance to cognitive work.</w:t>
            </w:r>
          </w:p>
        </w:tc>
      </w:tr>
      <w:tr w:rsidR="00123F07" w:rsidRPr="00346BFC" w14:paraId="41BEB7A3" w14:textId="77777777" w:rsidTr="006E15EA">
        <w:trPr>
          <w:trHeight w:val="835"/>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0D7721D8"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3</w:t>
            </w:r>
          </w:p>
        </w:tc>
        <w:tc>
          <w:tcPr>
            <w:tcW w:w="1701" w:type="dxa"/>
          </w:tcPr>
          <w:p w14:paraId="2E5A0F05"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 xml:space="preserve">Return to school </w:t>
            </w:r>
          </w:p>
          <w:p w14:paraId="4FFF0B75"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part-time</w:t>
            </w:r>
          </w:p>
        </w:tc>
        <w:tc>
          <w:tcPr>
            <w:tcW w:w="3544" w:type="dxa"/>
          </w:tcPr>
          <w:p w14:paraId="06675CC7"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Gradual introduction of schoolwork. May need to start with a partial school day or with increased breaks during the day.</w:t>
            </w:r>
          </w:p>
        </w:tc>
        <w:tc>
          <w:tcPr>
            <w:tcW w:w="3610" w:type="dxa"/>
          </w:tcPr>
          <w:p w14:paraId="465EE688"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Increase academic activities.</w:t>
            </w:r>
          </w:p>
        </w:tc>
      </w:tr>
      <w:tr w:rsidR="00123F07" w:rsidRPr="00346BFC" w14:paraId="4EEFC4DC" w14:textId="77777777" w:rsidTr="006E15EA">
        <w:trPr>
          <w:trHeight w:val="600"/>
        </w:trPr>
        <w:tc>
          <w:tcPr>
            <w:cnfStyle w:val="001000000000" w:firstRow="0" w:lastRow="0" w:firstColumn="1" w:lastColumn="0" w:oddVBand="0" w:evenVBand="0" w:oddHBand="0" w:evenHBand="0" w:firstRowFirstColumn="0" w:firstRowLastColumn="0" w:lastRowFirstColumn="0" w:lastRowLastColumn="0"/>
            <w:tcW w:w="812" w:type="dxa"/>
            <w:shd w:val="clear" w:color="auto" w:fill="F2C6C0" w:themeFill="accent2" w:themeFillTint="33"/>
          </w:tcPr>
          <w:p w14:paraId="4C97C5F3" w14:textId="77777777" w:rsidR="000F671B" w:rsidRPr="00346BFC" w:rsidRDefault="000F671B" w:rsidP="00BD6950">
            <w:pPr>
              <w:pStyle w:val="ParagraphBody"/>
              <w:spacing w:before="80"/>
              <w:jc w:val="center"/>
              <w:rPr>
                <w:rFonts w:ascii="Calibri" w:hAnsi="Calibri"/>
                <w:b w:val="0"/>
                <w:sz w:val="22"/>
                <w:szCs w:val="22"/>
              </w:rPr>
            </w:pPr>
            <w:r w:rsidRPr="00346BFC">
              <w:rPr>
                <w:rFonts w:ascii="Calibri" w:hAnsi="Calibri"/>
                <w:sz w:val="22"/>
                <w:szCs w:val="22"/>
              </w:rPr>
              <w:t>4</w:t>
            </w:r>
          </w:p>
        </w:tc>
        <w:tc>
          <w:tcPr>
            <w:tcW w:w="1701" w:type="dxa"/>
          </w:tcPr>
          <w:p w14:paraId="7591DE08"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 xml:space="preserve">Return to school </w:t>
            </w:r>
          </w:p>
          <w:p w14:paraId="77FFC22D"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full-time</w:t>
            </w:r>
          </w:p>
        </w:tc>
        <w:tc>
          <w:tcPr>
            <w:tcW w:w="3544" w:type="dxa"/>
          </w:tcPr>
          <w:p w14:paraId="29C9407E"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Gradually progress.</w:t>
            </w:r>
          </w:p>
        </w:tc>
        <w:tc>
          <w:tcPr>
            <w:tcW w:w="3610" w:type="dxa"/>
          </w:tcPr>
          <w:p w14:paraId="28BBFD43" w14:textId="77777777" w:rsidR="000F671B" w:rsidRPr="00346BFC" w:rsidRDefault="000F671B" w:rsidP="00BD6950">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46BFC">
              <w:rPr>
                <w:rFonts w:ascii="Calibri" w:hAnsi="Calibri"/>
                <w:sz w:val="22"/>
                <w:szCs w:val="22"/>
              </w:rPr>
              <w:t>Return to full academic activities and catch up on missed school work.</w:t>
            </w:r>
          </w:p>
        </w:tc>
      </w:tr>
    </w:tbl>
    <w:p w14:paraId="13E5FB67" w14:textId="77777777" w:rsidR="00123F07" w:rsidRPr="003657C5" w:rsidRDefault="00123F07"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8"/>
          <w:szCs w:val="22"/>
        </w:rPr>
      </w:pPr>
    </w:p>
    <w:p w14:paraId="3D53F8D7" w14:textId="3E12B275" w:rsidR="005A6D28" w:rsidRPr="00346BFC" w:rsidRDefault="0073527F" w:rsidP="00D77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b/>
          <w:bCs/>
          <w:sz w:val="22"/>
          <w:szCs w:val="22"/>
        </w:rPr>
      </w:pPr>
      <w:r w:rsidRPr="00346BFC">
        <w:rPr>
          <w:rFonts w:cs="Calibri"/>
          <w:b/>
          <w:bCs/>
          <w:sz w:val="22"/>
          <w:szCs w:val="22"/>
        </w:rPr>
        <w:t>Sport-Sp</w:t>
      </w:r>
      <w:r w:rsidR="00FB7B3B" w:rsidRPr="00346BFC">
        <w:rPr>
          <w:rFonts w:cs="Calibri"/>
          <w:b/>
          <w:bCs/>
          <w:sz w:val="22"/>
          <w:szCs w:val="22"/>
        </w:rPr>
        <w:t>ecific Return-to-Sport Strategy</w:t>
      </w:r>
    </w:p>
    <w:tbl>
      <w:tblPr>
        <w:tblStyle w:val="GridTable1Light-Accent2"/>
        <w:tblW w:w="0" w:type="auto"/>
        <w:tblLook w:val="04A0" w:firstRow="1" w:lastRow="0" w:firstColumn="1" w:lastColumn="0" w:noHBand="0" w:noVBand="1"/>
      </w:tblPr>
      <w:tblGrid>
        <w:gridCol w:w="872"/>
        <w:gridCol w:w="1666"/>
        <w:gridCol w:w="3510"/>
        <w:gridCol w:w="3690"/>
      </w:tblGrid>
      <w:tr w:rsidR="009D06D3" w:rsidRPr="008915DD" w14:paraId="22290537" w14:textId="77777777" w:rsidTr="006E1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Pr>
          <w:p w14:paraId="61997DE6" w14:textId="77777777" w:rsidR="009D06D3" w:rsidRPr="008915DD" w:rsidRDefault="009D06D3" w:rsidP="00B962DB">
            <w:pPr>
              <w:rPr>
                <w:rFonts w:asciiTheme="majorHAnsi" w:hAnsiTheme="majorHAnsi" w:cs="Arial"/>
                <w:color w:val="000000" w:themeColor="text1"/>
                <w:sz w:val="22"/>
                <w:szCs w:val="22"/>
              </w:rPr>
            </w:pPr>
            <w:r w:rsidRPr="008915DD">
              <w:rPr>
                <w:rFonts w:asciiTheme="majorHAnsi" w:hAnsiTheme="majorHAnsi" w:cs="Arial"/>
                <w:color w:val="000000" w:themeColor="text1"/>
                <w:sz w:val="22"/>
                <w:szCs w:val="22"/>
              </w:rPr>
              <w:t>Stage</w:t>
            </w:r>
          </w:p>
        </w:tc>
        <w:tc>
          <w:tcPr>
            <w:tcW w:w="1666" w:type="dxa"/>
          </w:tcPr>
          <w:p w14:paraId="587FD12C" w14:textId="77777777" w:rsidR="009D06D3" w:rsidRPr="008915DD" w:rsidRDefault="009D06D3"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22"/>
                <w:szCs w:val="22"/>
              </w:rPr>
            </w:pPr>
            <w:r w:rsidRPr="008915DD">
              <w:rPr>
                <w:rFonts w:asciiTheme="majorHAnsi" w:hAnsiTheme="majorHAnsi" w:cs="Arial"/>
                <w:color w:val="000000" w:themeColor="text1"/>
                <w:sz w:val="22"/>
                <w:szCs w:val="22"/>
              </w:rPr>
              <w:t>Aim</w:t>
            </w:r>
          </w:p>
        </w:tc>
        <w:tc>
          <w:tcPr>
            <w:tcW w:w="3510" w:type="dxa"/>
          </w:tcPr>
          <w:p w14:paraId="3A885F0D" w14:textId="77777777" w:rsidR="009D06D3" w:rsidRPr="008915DD" w:rsidRDefault="009D06D3"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22"/>
                <w:szCs w:val="22"/>
              </w:rPr>
            </w:pPr>
            <w:r w:rsidRPr="008915DD">
              <w:rPr>
                <w:rFonts w:asciiTheme="majorHAnsi" w:hAnsiTheme="majorHAnsi" w:cs="Arial"/>
                <w:color w:val="000000" w:themeColor="text1"/>
                <w:sz w:val="22"/>
                <w:szCs w:val="22"/>
              </w:rPr>
              <w:t>Activity</w:t>
            </w:r>
          </w:p>
        </w:tc>
        <w:tc>
          <w:tcPr>
            <w:tcW w:w="3690" w:type="dxa"/>
          </w:tcPr>
          <w:p w14:paraId="1CB335F0" w14:textId="77777777" w:rsidR="009D06D3" w:rsidRPr="008915DD" w:rsidRDefault="009D06D3"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22"/>
                <w:szCs w:val="22"/>
              </w:rPr>
            </w:pPr>
            <w:r w:rsidRPr="008915DD">
              <w:rPr>
                <w:rFonts w:asciiTheme="majorHAnsi" w:hAnsiTheme="majorHAnsi" w:cs="Arial"/>
                <w:color w:val="000000" w:themeColor="text1"/>
                <w:sz w:val="22"/>
                <w:szCs w:val="22"/>
              </w:rPr>
              <w:t>Goal of each step</w:t>
            </w:r>
          </w:p>
        </w:tc>
      </w:tr>
      <w:tr w:rsidR="009D06D3" w:rsidRPr="008915DD" w14:paraId="1B422085"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1AB9DE55"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1</w:t>
            </w:r>
          </w:p>
        </w:tc>
        <w:tc>
          <w:tcPr>
            <w:tcW w:w="1666" w:type="dxa"/>
          </w:tcPr>
          <w:p w14:paraId="67932410"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Symptom-limiting activity</w:t>
            </w:r>
          </w:p>
        </w:tc>
        <w:tc>
          <w:tcPr>
            <w:tcW w:w="3510" w:type="dxa"/>
          </w:tcPr>
          <w:p w14:paraId="12DB7B11"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Daily activities that do not provoke symptoms</w:t>
            </w:r>
          </w:p>
          <w:p w14:paraId="090CFB51"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c>
          <w:tcPr>
            <w:tcW w:w="3690" w:type="dxa"/>
          </w:tcPr>
          <w:p w14:paraId="5212187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Gradual re-introduction of work/school activities</w:t>
            </w:r>
          </w:p>
        </w:tc>
      </w:tr>
      <w:tr w:rsidR="009D06D3" w:rsidRPr="008915DD" w14:paraId="4EEC7749" w14:textId="77777777" w:rsidTr="006E15EA">
        <w:trPr>
          <w:trHeight w:val="63"/>
        </w:trPr>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52E64F21"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2</w:t>
            </w:r>
          </w:p>
        </w:tc>
        <w:tc>
          <w:tcPr>
            <w:tcW w:w="1666" w:type="dxa"/>
          </w:tcPr>
          <w:p w14:paraId="68768365"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Light aerobic activity</w:t>
            </w:r>
          </w:p>
          <w:p w14:paraId="259BB4CD"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c>
          <w:tcPr>
            <w:tcW w:w="3510" w:type="dxa"/>
          </w:tcPr>
          <w:p w14:paraId="6173E0A8"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Walking or stationary cycling at slow to medium pace. No resistance training</w:t>
            </w:r>
          </w:p>
        </w:tc>
        <w:tc>
          <w:tcPr>
            <w:tcW w:w="3690" w:type="dxa"/>
          </w:tcPr>
          <w:p w14:paraId="357E721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Increase heart rate</w:t>
            </w:r>
          </w:p>
        </w:tc>
      </w:tr>
      <w:tr w:rsidR="009D06D3" w:rsidRPr="008915DD" w14:paraId="5CC3DB31"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60A90090"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3</w:t>
            </w:r>
          </w:p>
        </w:tc>
        <w:tc>
          <w:tcPr>
            <w:tcW w:w="1666" w:type="dxa"/>
          </w:tcPr>
          <w:p w14:paraId="4E87745F"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Sport-specific exercise</w:t>
            </w:r>
          </w:p>
        </w:tc>
        <w:tc>
          <w:tcPr>
            <w:tcW w:w="3510" w:type="dxa"/>
          </w:tcPr>
          <w:p w14:paraId="3D88351B"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Low to moderate intensity individual running, throwing and outfield catching. No in-field, catching or pitcher position practice</w:t>
            </w:r>
          </w:p>
        </w:tc>
        <w:tc>
          <w:tcPr>
            <w:tcW w:w="3690" w:type="dxa"/>
          </w:tcPr>
          <w:p w14:paraId="2D6A296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Add movement</w:t>
            </w:r>
          </w:p>
        </w:tc>
      </w:tr>
      <w:tr w:rsidR="009D06D3" w:rsidRPr="008915DD" w14:paraId="00D5742D"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60BCC12A"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4</w:t>
            </w:r>
          </w:p>
        </w:tc>
        <w:tc>
          <w:tcPr>
            <w:tcW w:w="1666" w:type="dxa"/>
          </w:tcPr>
          <w:p w14:paraId="444B4458"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Non-contact training drills</w:t>
            </w:r>
          </w:p>
        </w:tc>
        <w:tc>
          <w:tcPr>
            <w:tcW w:w="3510" w:type="dxa"/>
          </w:tcPr>
          <w:p w14:paraId="1689C6E0"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High intensity running (including non-contact base running), throwing, out-field and in-field catching. Non-contact individual and team drills. Batting cage or taking pitches from a coach. May start progressive resistance training. Individual catcher and pitching position practice</w:t>
            </w:r>
          </w:p>
        </w:tc>
        <w:tc>
          <w:tcPr>
            <w:tcW w:w="3690" w:type="dxa"/>
          </w:tcPr>
          <w:p w14:paraId="3E9F5039"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Exercise, coordination and increased thinking</w:t>
            </w:r>
          </w:p>
        </w:tc>
      </w:tr>
      <w:tr w:rsidR="009D06D3" w:rsidRPr="008915DD" w14:paraId="7E8CB360"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17D6912E"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5</w:t>
            </w:r>
          </w:p>
        </w:tc>
        <w:tc>
          <w:tcPr>
            <w:tcW w:w="1666" w:type="dxa"/>
          </w:tcPr>
          <w:p w14:paraId="1D8C5959"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Full contact practice</w:t>
            </w:r>
          </w:p>
        </w:tc>
        <w:tc>
          <w:tcPr>
            <w:tcW w:w="3510" w:type="dxa"/>
          </w:tcPr>
          <w:p w14:paraId="2C4C5CD3"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Following medical clearance</w:t>
            </w:r>
          </w:p>
          <w:p w14:paraId="0891D04D"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High intensity full contact practice and scrimmage</w:t>
            </w:r>
          </w:p>
          <w:p w14:paraId="5CF0DA4C"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2"/>
                <w:szCs w:val="22"/>
              </w:rPr>
            </w:pPr>
            <w:r w:rsidRPr="008915DD">
              <w:rPr>
                <w:rFonts w:asciiTheme="majorHAnsi" w:hAnsiTheme="majorHAnsi" w:cs="Arial"/>
                <w:i/>
                <w:sz w:val="22"/>
                <w:szCs w:val="22"/>
              </w:rPr>
              <w:t xml:space="preserve"> </w:t>
            </w:r>
          </w:p>
        </w:tc>
        <w:tc>
          <w:tcPr>
            <w:tcW w:w="3690" w:type="dxa"/>
          </w:tcPr>
          <w:p w14:paraId="1EF38046"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915DD">
              <w:rPr>
                <w:rFonts w:asciiTheme="majorHAnsi" w:hAnsiTheme="majorHAnsi" w:cs="Arial"/>
                <w:b/>
                <w:sz w:val="22"/>
                <w:szCs w:val="22"/>
              </w:rPr>
              <w:t>Restore confidence and assess functional skills by coaching staff</w:t>
            </w:r>
          </w:p>
        </w:tc>
      </w:tr>
      <w:tr w:rsidR="009D06D3" w:rsidRPr="008915DD" w14:paraId="43F775CB" w14:textId="77777777" w:rsidTr="006E15EA">
        <w:tc>
          <w:tcPr>
            <w:cnfStyle w:val="001000000000" w:firstRow="0" w:lastRow="0" w:firstColumn="1" w:lastColumn="0" w:oddVBand="0" w:evenVBand="0" w:oddHBand="0" w:evenHBand="0" w:firstRowFirstColumn="0" w:firstRowLastColumn="0" w:lastRowFirstColumn="0" w:lastRowLastColumn="0"/>
            <w:tcW w:w="872" w:type="dxa"/>
            <w:shd w:val="clear" w:color="auto" w:fill="F2C6C0" w:themeFill="accent2" w:themeFillTint="33"/>
          </w:tcPr>
          <w:p w14:paraId="76CA61AF" w14:textId="77777777" w:rsidR="009D06D3" w:rsidRPr="008915DD" w:rsidRDefault="009D06D3" w:rsidP="008915DD">
            <w:pPr>
              <w:jc w:val="center"/>
              <w:rPr>
                <w:rFonts w:asciiTheme="majorHAnsi" w:hAnsiTheme="majorHAnsi" w:cs="Arial"/>
                <w:sz w:val="22"/>
                <w:szCs w:val="22"/>
              </w:rPr>
            </w:pPr>
            <w:r w:rsidRPr="008915DD">
              <w:rPr>
                <w:rFonts w:asciiTheme="majorHAnsi" w:hAnsiTheme="majorHAnsi" w:cs="Arial"/>
                <w:sz w:val="22"/>
                <w:szCs w:val="22"/>
              </w:rPr>
              <w:t>6</w:t>
            </w:r>
          </w:p>
        </w:tc>
        <w:tc>
          <w:tcPr>
            <w:tcW w:w="1666" w:type="dxa"/>
          </w:tcPr>
          <w:p w14:paraId="4D12617F"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Return to sport</w:t>
            </w:r>
          </w:p>
        </w:tc>
        <w:tc>
          <w:tcPr>
            <w:tcW w:w="3510" w:type="dxa"/>
          </w:tcPr>
          <w:p w14:paraId="553326C4"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915DD">
              <w:rPr>
                <w:rFonts w:asciiTheme="majorHAnsi" w:hAnsiTheme="majorHAnsi" w:cs="Arial"/>
                <w:sz w:val="22"/>
                <w:szCs w:val="22"/>
              </w:rPr>
              <w:t>Normal game play</w:t>
            </w:r>
          </w:p>
        </w:tc>
        <w:tc>
          <w:tcPr>
            <w:tcW w:w="3690" w:type="dxa"/>
          </w:tcPr>
          <w:p w14:paraId="2663210B" w14:textId="77777777" w:rsidR="009D06D3" w:rsidRPr="008915DD" w:rsidRDefault="009D06D3"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r>
    </w:tbl>
    <w:p w14:paraId="5960D4BD" w14:textId="77777777" w:rsidR="003657C5" w:rsidRDefault="003657C5"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p>
    <w:p w14:paraId="1FDBD39A"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HOW LONG WILL IT TAKE FOR THE ATHLETE TO RECOVER?</w:t>
      </w:r>
    </w:p>
    <w:p w14:paraId="6F40A0F7" w14:textId="189D3E6C" w:rsidR="003657C5" w:rsidRPr="00DA445D" w:rsidRDefault="000A21FC" w:rsidP="00DA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Most athletes who sustain a concussion will make a complete recovery within 1-2 weeks while most youth athletes will recover within 1-4 weeks. Approximately 15-30% of patients will experience persistent symptoms (&gt;2 weeks for adults; &gt;4 weeks for youth) that may require additional medical assessment and management.</w:t>
      </w:r>
      <w:bookmarkStart w:id="0" w:name="_GoBack"/>
      <w:bookmarkEnd w:id="0"/>
    </w:p>
    <w:p w14:paraId="044A9CC9" w14:textId="72CE4BD8"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lastRenderedPageBreak/>
        <w:t>HOW CAN I HELP PREVENT CONCUSSIONS AND THEIR CONSEQUENCES?</w:t>
      </w:r>
    </w:p>
    <w:p w14:paraId="3D6D8996"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Concussion prevention, recognition and management require athletes to follow the rules and regulations of their sport, respect their opponents, avoid head contact, and report suspected concussions. </w:t>
      </w:r>
    </w:p>
    <w:p w14:paraId="2E440CAB" w14:textId="1D6C1B8B"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 xml:space="preserve">TO LEARN MORE ABOUT CONCUSSIONS PLEASE VISIT: </w:t>
      </w:r>
      <w:r w:rsidR="003657C5">
        <w:rPr>
          <w:rFonts w:cs="Calibri"/>
          <w:b/>
          <w:bCs/>
          <w:color w:val="000000"/>
          <w:sz w:val="22"/>
          <w:szCs w:val="22"/>
        </w:rPr>
        <w:br/>
      </w:r>
      <w:r w:rsidRPr="00346BFC">
        <w:rPr>
          <w:rFonts w:cs="Calibri"/>
          <w:color w:val="000000"/>
          <w:sz w:val="22"/>
          <w:szCs w:val="22"/>
        </w:rPr>
        <w:t xml:space="preserve">Parachute Canada: </w:t>
      </w:r>
      <w:hyperlink r:id="rId8" w:history="1">
        <w:r w:rsidRPr="00346BFC">
          <w:rPr>
            <w:rFonts w:cs="Calibri"/>
            <w:b/>
            <w:bCs/>
            <w:color w:val="1864CD"/>
            <w:sz w:val="22"/>
            <w:szCs w:val="22"/>
          </w:rPr>
          <w:t>www.parachutecanada.org/concussion</w:t>
        </w:r>
      </w:hyperlink>
    </w:p>
    <w:p w14:paraId="03A6D969"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sz w:val="22"/>
          <w:szCs w:val="22"/>
          <w:u w:val="single" w:color="0000FF"/>
        </w:rPr>
      </w:pPr>
    </w:p>
    <w:p w14:paraId="32EF4A17" w14:textId="77777777" w:rsidR="000A21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Calibri"/>
          <w:color w:val="000000"/>
          <w:sz w:val="22"/>
          <w:szCs w:val="22"/>
          <w:u w:color="0000FF"/>
        </w:rPr>
      </w:pPr>
      <w:r w:rsidRPr="00346BFC">
        <w:rPr>
          <w:rFonts w:cs="Calibri"/>
          <w:b/>
          <w:bCs/>
          <w:color w:val="000000"/>
          <w:sz w:val="22"/>
          <w:szCs w:val="22"/>
          <w:u w:color="0000FF"/>
        </w:rPr>
        <w:t>SIGNATURES (OPTIONAL):</w:t>
      </w:r>
      <w:r w:rsidRPr="00346BFC">
        <w:rPr>
          <w:rFonts w:cs="Calibri"/>
          <w:color w:val="000000"/>
          <w:sz w:val="22"/>
          <w:szCs w:val="22"/>
          <w:u w:color="0000FF"/>
        </w:rPr>
        <w:t xml:space="preserve"> The following signatures certify that the athlete and his/her parent or legal guardian have reviewed the above information related to concussion.</w:t>
      </w:r>
    </w:p>
    <w:p w14:paraId="644CD59E" w14:textId="77777777" w:rsidR="003657C5" w:rsidRPr="003657C5" w:rsidRDefault="003657C5" w:rsidP="003657C5">
      <w:pPr>
        <w:pStyle w:val="NoSpacing"/>
      </w:pPr>
    </w:p>
    <w:p w14:paraId="20FA2FFF" w14:textId="74571E8F"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__</w:t>
      </w:r>
      <w:r w:rsidR="003657C5">
        <w:rPr>
          <w:rFonts w:cs="Calibri"/>
          <w:color w:val="000000"/>
          <w:sz w:val="22"/>
          <w:szCs w:val="22"/>
          <w:u w:color="0000FF"/>
        </w:rPr>
        <w:t>_________________________________</w:t>
      </w:r>
      <w:r w:rsidR="003657C5">
        <w:rPr>
          <w:rFonts w:cs="Calibri"/>
          <w:color w:val="000000"/>
          <w:sz w:val="22"/>
          <w:szCs w:val="22"/>
          <w:u w:color="0000FF"/>
        </w:rPr>
        <w:tab/>
      </w:r>
      <w:r w:rsidRPr="00346BFC">
        <w:rPr>
          <w:rFonts w:cs="Calibri"/>
          <w:color w:val="000000"/>
          <w:sz w:val="22"/>
          <w:szCs w:val="22"/>
          <w:u w:color="0000FF"/>
        </w:rPr>
        <w:t>_________________</w:t>
      </w:r>
      <w:r w:rsidR="003657C5">
        <w:rPr>
          <w:rFonts w:cs="Calibri"/>
          <w:color w:val="000000"/>
          <w:sz w:val="22"/>
          <w:szCs w:val="22"/>
          <w:u w:color="0000FF"/>
        </w:rPr>
        <w:t>___________</w:t>
      </w:r>
      <w:r w:rsidR="003657C5">
        <w:rPr>
          <w:rFonts w:cs="Calibri"/>
          <w:color w:val="000000"/>
          <w:sz w:val="22"/>
          <w:szCs w:val="22"/>
          <w:u w:color="0000FF"/>
        </w:rPr>
        <w:tab/>
        <w:t>______________</w:t>
      </w:r>
    </w:p>
    <w:p w14:paraId="391002BC" w14:textId="6F5328B0"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Printed name of athlete</w:t>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003657C5">
        <w:rPr>
          <w:rFonts w:cs="Calibri"/>
          <w:color w:val="000000"/>
          <w:sz w:val="22"/>
          <w:szCs w:val="22"/>
          <w:u w:color="0000FF"/>
        </w:rPr>
        <w:t>Signature of athlete</w:t>
      </w:r>
      <w:r w:rsidR="003657C5">
        <w:rPr>
          <w:rFonts w:cs="Calibri"/>
          <w:color w:val="000000"/>
          <w:sz w:val="22"/>
          <w:szCs w:val="22"/>
          <w:u w:color="0000FF"/>
        </w:rPr>
        <w:tab/>
      </w:r>
      <w:r w:rsidR="003657C5">
        <w:rPr>
          <w:rFonts w:cs="Calibri"/>
          <w:color w:val="000000"/>
          <w:sz w:val="22"/>
          <w:szCs w:val="22"/>
          <w:u w:color="0000FF"/>
        </w:rPr>
        <w:tab/>
      </w:r>
      <w:r w:rsidR="003657C5">
        <w:rPr>
          <w:rFonts w:cs="Calibri"/>
          <w:color w:val="000000"/>
          <w:sz w:val="22"/>
          <w:szCs w:val="22"/>
          <w:u w:color="0000FF"/>
        </w:rPr>
        <w:tab/>
      </w:r>
      <w:r w:rsidRPr="00346BFC">
        <w:rPr>
          <w:rFonts w:cs="Calibri"/>
          <w:color w:val="000000"/>
          <w:sz w:val="22"/>
          <w:szCs w:val="22"/>
          <w:u w:color="0000FF"/>
        </w:rPr>
        <w:t>Date</w:t>
      </w:r>
    </w:p>
    <w:p w14:paraId="3645A982" w14:textId="77777777" w:rsidR="000A21FC" w:rsidRPr="008C2C2A"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52"/>
          <w:szCs w:val="22"/>
          <w:u w:color="0000FF"/>
        </w:rPr>
      </w:pPr>
    </w:p>
    <w:p w14:paraId="2984B772" w14:textId="4D3C4E15"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___</w:t>
      </w:r>
      <w:r w:rsidR="003657C5">
        <w:rPr>
          <w:rFonts w:cs="Calibri"/>
          <w:color w:val="000000"/>
          <w:sz w:val="22"/>
          <w:szCs w:val="22"/>
          <w:u w:color="0000FF"/>
        </w:rPr>
        <w:t>________________________________</w:t>
      </w:r>
      <w:r w:rsidR="003657C5">
        <w:rPr>
          <w:rFonts w:cs="Calibri"/>
          <w:color w:val="000000"/>
          <w:sz w:val="22"/>
          <w:szCs w:val="22"/>
          <w:u w:color="0000FF"/>
        </w:rPr>
        <w:tab/>
        <w:t>____________________________</w:t>
      </w:r>
      <w:r w:rsidR="003657C5">
        <w:rPr>
          <w:rFonts w:cs="Calibri"/>
          <w:color w:val="000000"/>
          <w:sz w:val="22"/>
          <w:szCs w:val="22"/>
          <w:u w:color="0000FF"/>
        </w:rPr>
        <w:tab/>
        <w:t>______________</w:t>
      </w:r>
    </w:p>
    <w:p w14:paraId="3D2139B7" w14:textId="57992973" w:rsidR="00FC4CB0" w:rsidRPr="00346BFC" w:rsidRDefault="002673B8" w:rsidP="000A21FC">
      <w:pPr>
        <w:rPr>
          <w:sz w:val="22"/>
          <w:szCs w:val="22"/>
        </w:rPr>
      </w:pPr>
      <w:r w:rsidRPr="00346BFC">
        <w:rPr>
          <w:rFonts w:cs="Calibri"/>
          <w:color w:val="000000"/>
          <w:sz w:val="22"/>
          <w:szCs w:val="22"/>
          <w:u w:color="0000FF"/>
        </w:rPr>
        <w:t>Printed name of parent</w:t>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000A21FC" w:rsidRPr="00346BFC">
        <w:rPr>
          <w:rFonts w:cs="Calibri"/>
          <w:color w:val="000000"/>
          <w:sz w:val="22"/>
          <w:szCs w:val="22"/>
          <w:u w:color="0000FF"/>
        </w:rPr>
        <w:t>Signa</w:t>
      </w:r>
      <w:r w:rsidR="003657C5">
        <w:rPr>
          <w:rFonts w:cs="Calibri"/>
          <w:color w:val="000000"/>
          <w:sz w:val="22"/>
          <w:szCs w:val="22"/>
          <w:u w:color="0000FF"/>
        </w:rPr>
        <w:t>ture of parent</w:t>
      </w:r>
      <w:r w:rsidR="003657C5">
        <w:rPr>
          <w:rFonts w:cs="Calibri"/>
          <w:color w:val="000000"/>
          <w:sz w:val="22"/>
          <w:szCs w:val="22"/>
          <w:u w:color="0000FF"/>
        </w:rPr>
        <w:tab/>
      </w:r>
      <w:r w:rsidR="003657C5">
        <w:rPr>
          <w:rFonts w:cs="Calibri"/>
          <w:color w:val="000000"/>
          <w:sz w:val="22"/>
          <w:szCs w:val="22"/>
          <w:u w:color="0000FF"/>
        </w:rPr>
        <w:tab/>
      </w:r>
      <w:r w:rsidR="003657C5">
        <w:rPr>
          <w:rFonts w:cs="Calibri"/>
          <w:color w:val="000000"/>
          <w:sz w:val="22"/>
          <w:szCs w:val="22"/>
          <w:u w:color="0000FF"/>
        </w:rPr>
        <w:tab/>
      </w:r>
      <w:r w:rsidR="000A21FC" w:rsidRPr="00346BFC">
        <w:rPr>
          <w:rFonts w:cs="Calibri"/>
          <w:color w:val="000000"/>
          <w:sz w:val="22"/>
          <w:szCs w:val="22"/>
          <w:u w:color="0000FF"/>
        </w:rPr>
        <w:t>Date</w:t>
      </w:r>
      <w:r w:rsidR="000A21FC" w:rsidRPr="00346BFC">
        <w:rPr>
          <w:rFonts w:cs="Calibri"/>
          <w:color w:val="000000"/>
          <w:sz w:val="22"/>
          <w:szCs w:val="22"/>
          <w:u w:color="0000FF"/>
        </w:rPr>
        <w:tab/>
      </w:r>
      <w:r w:rsidR="000A21FC" w:rsidRPr="00346BFC">
        <w:rPr>
          <w:rFonts w:cs="Calibri"/>
          <w:color w:val="000000"/>
          <w:sz w:val="22"/>
          <w:szCs w:val="22"/>
          <w:u w:color="0000FF"/>
        </w:rPr>
        <w:tab/>
      </w:r>
    </w:p>
    <w:sectPr w:rsidR="00FC4CB0" w:rsidRPr="00346BFC" w:rsidSect="001D672D">
      <w:footerReference w:type="even" r:id="rId9"/>
      <w:footerReference w:type="default" r:id="rId10"/>
      <w:headerReference w:type="first" r:id="rId11"/>
      <w:footerReference w:type="first" r:id="rId12"/>
      <w:pgSz w:w="12240" w:h="15840"/>
      <w:pgMar w:top="1304" w:right="1247" w:bottom="1418" w:left="1247" w:header="720"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9AE0" w14:textId="77777777" w:rsidR="003657C5" w:rsidRDefault="003657C5" w:rsidP="00141885">
      <w:r>
        <w:separator/>
      </w:r>
    </w:p>
  </w:endnote>
  <w:endnote w:type="continuationSeparator" w:id="0">
    <w:p w14:paraId="19BDA062" w14:textId="77777777" w:rsidR="003657C5" w:rsidRDefault="003657C5"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497A" w14:textId="77777777" w:rsidR="00F73033" w:rsidRDefault="00F73033" w:rsidP="00E2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857B" w14:textId="77777777" w:rsidR="008C2C2A" w:rsidRDefault="008C2C2A" w:rsidP="00F73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C308" w14:textId="77777777" w:rsidR="00F73033" w:rsidRPr="00F73033" w:rsidRDefault="00F73033" w:rsidP="00E22F8E">
    <w:pPr>
      <w:pStyle w:val="Footer"/>
      <w:framePr w:wrap="around" w:vAnchor="text" w:hAnchor="margin" w:xAlign="right" w:y="1"/>
      <w:rPr>
        <w:rStyle w:val="PageNumber"/>
        <w:sz w:val="22"/>
        <w:szCs w:val="20"/>
      </w:rPr>
    </w:pPr>
    <w:r w:rsidRPr="00F73033">
      <w:rPr>
        <w:rStyle w:val="PageNumber"/>
        <w:sz w:val="22"/>
        <w:szCs w:val="20"/>
      </w:rPr>
      <w:fldChar w:fldCharType="begin"/>
    </w:r>
    <w:r w:rsidRPr="00F73033">
      <w:rPr>
        <w:rStyle w:val="PageNumber"/>
        <w:sz w:val="22"/>
        <w:szCs w:val="20"/>
      </w:rPr>
      <w:instrText xml:space="preserve">PAGE  </w:instrText>
    </w:r>
    <w:r w:rsidRPr="00F73033">
      <w:rPr>
        <w:rStyle w:val="PageNumber"/>
        <w:sz w:val="22"/>
        <w:szCs w:val="20"/>
      </w:rPr>
      <w:fldChar w:fldCharType="separate"/>
    </w:r>
    <w:r w:rsidR="00FF63A4">
      <w:rPr>
        <w:rStyle w:val="PageNumber"/>
        <w:noProof/>
        <w:sz w:val="22"/>
        <w:szCs w:val="20"/>
      </w:rPr>
      <w:t>2</w:t>
    </w:r>
    <w:r w:rsidRPr="00F73033">
      <w:rPr>
        <w:rStyle w:val="PageNumber"/>
        <w:sz w:val="22"/>
        <w:szCs w:val="20"/>
      </w:rPr>
      <w:fldChar w:fldCharType="end"/>
    </w:r>
  </w:p>
  <w:p w14:paraId="3A5BEB5D" w14:textId="78DCB4E6" w:rsidR="001D672D" w:rsidRDefault="008C2C2A" w:rsidP="00F73033">
    <w:pPr>
      <w:pStyle w:val="Footer"/>
      <w:ind w:right="360"/>
      <w:rPr>
        <w:sz w:val="22"/>
      </w:rPr>
    </w:pPr>
    <w:r>
      <w:rPr>
        <w:sz w:val="22"/>
      </w:rPr>
      <w:t>Pre-Season Concussion Education Sheet</w:t>
    </w:r>
  </w:p>
  <w:p w14:paraId="45F18E32" w14:textId="5EEE5917" w:rsidR="003657C5" w:rsidRPr="007800DC" w:rsidRDefault="00F73033" w:rsidP="00F73033">
    <w:pPr>
      <w:pStyle w:val="Footer"/>
      <w:ind w:right="360"/>
      <w:rPr>
        <w:sz w:val="22"/>
      </w:rPr>
    </w:pPr>
    <w:r>
      <w:rPr>
        <w:sz w:val="22"/>
      </w:rPr>
      <w:tab/>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4A82" w14:textId="1D562E22" w:rsidR="00F73033" w:rsidRDefault="00F73033">
    <w:pPr>
      <w:pStyle w:val="Footer"/>
      <w:rPr>
        <w:sz w:val="22"/>
      </w:rPr>
    </w:pPr>
    <w:r>
      <w:rPr>
        <w:sz w:val="22"/>
      </w:rPr>
      <w:t>Pre-Season Concussion Education Sheet</w:t>
    </w:r>
  </w:p>
  <w:p w14:paraId="02711BF5" w14:textId="3F14D5AD" w:rsidR="001D672D" w:rsidRDefault="001D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0D86" w14:textId="77777777" w:rsidR="003657C5" w:rsidRDefault="003657C5" w:rsidP="00141885">
      <w:r>
        <w:separator/>
      </w:r>
    </w:p>
  </w:footnote>
  <w:footnote w:type="continuationSeparator" w:id="0">
    <w:p w14:paraId="3D5E1282" w14:textId="77777777" w:rsidR="003657C5" w:rsidRDefault="003657C5" w:rsidP="0014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75B7" w14:textId="5E1B6CB9" w:rsidR="004833B7" w:rsidRDefault="004833B7">
    <w:pPr>
      <w:pStyle w:val="Header"/>
    </w:pPr>
    <w:r>
      <w:rPr>
        <w:noProof/>
      </w:rPr>
      <w:drawing>
        <wp:inline distT="0" distB="0" distL="0" distR="0" wp14:anchorId="5D26E67F" wp14:editId="2BD6947E">
          <wp:extent cx="676275" cy="676275"/>
          <wp:effectExtent l="0" t="0" r="9525"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Emblem.jpg"/>
                  <pic:cNvPicPr/>
                </pic:nvPicPr>
                <pic:blipFill>
                  <a:blip r:embed="rId1"/>
                  <a:stretch>
                    <a:fillRect/>
                  </a:stretch>
                </pic:blipFill>
                <pic:spPr>
                  <a:xfrm>
                    <a:off x="0" y="0"/>
                    <a:ext cx="67627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FDA"/>
    <w:multiLevelType w:val="hybridMultilevel"/>
    <w:tmpl w:val="4EE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66C0"/>
    <w:multiLevelType w:val="hybridMultilevel"/>
    <w:tmpl w:val="514EB7CC"/>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301949"/>
    <w:multiLevelType w:val="hybridMultilevel"/>
    <w:tmpl w:val="7E04E024"/>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F427C"/>
    <w:multiLevelType w:val="hybridMultilevel"/>
    <w:tmpl w:val="AB30F8A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5548D8"/>
    <w:multiLevelType w:val="hybridMultilevel"/>
    <w:tmpl w:val="B2644A02"/>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C07A0"/>
    <w:multiLevelType w:val="hybridMultilevel"/>
    <w:tmpl w:val="686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7F"/>
    <w:rsid w:val="00024E46"/>
    <w:rsid w:val="000818A4"/>
    <w:rsid w:val="00087C78"/>
    <w:rsid w:val="000A21FC"/>
    <w:rsid w:val="000D606B"/>
    <w:rsid w:val="000F671B"/>
    <w:rsid w:val="00123F07"/>
    <w:rsid w:val="00141885"/>
    <w:rsid w:val="00164857"/>
    <w:rsid w:val="001B1420"/>
    <w:rsid w:val="001D672D"/>
    <w:rsid w:val="00204EB7"/>
    <w:rsid w:val="002673B8"/>
    <w:rsid w:val="00324663"/>
    <w:rsid w:val="00346BFC"/>
    <w:rsid w:val="003657C5"/>
    <w:rsid w:val="0041626B"/>
    <w:rsid w:val="004833B7"/>
    <w:rsid w:val="0048731F"/>
    <w:rsid w:val="004E588D"/>
    <w:rsid w:val="005476BB"/>
    <w:rsid w:val="00553219"/>
    <w:rsid w:val="005A6D28"/>
    <w:rsid w:val="00602D79"/>
    <w:rsid w:val="006C7B67"/>
    <w:rsid w:val="006E15EA"/>
    <w:rsid w:val="00712E86"/>
    <w:rsid w:val="0073527F"/>
    <w:rsid w:val="007800DC"/>
    <w:rsid w:val="007D19F3"/>
    <w:rsid w:val="007E6CC0"/>
    <w:rsid w:val="00836FD5"/>
    <w:rsid w:val="0085470F"/>
    <w:rsid w:val="00875A43"/>
    <w:rsid w:val="008915DD"/>
    <w:rsid w:val="008C2C2A"/>
    <w:rsid w:val="009225CE"/>
    <w:rsid w:val="009B4008"/>
    <w:rsid w:val="009D06D3"/>
    <w:rsid w:val="00A11093"/>
    <w:rsid w:val="00A22D7A"/>
    <w:rsid w:val="00A520AB"/>
    <w:rsid w:val="00AB3E2E"/>
    <w:rsid w:val="00AD5C65"/>
    <w:rsid w:val="00B53790"/>
    <w:rsid w:val="00BD6950"/>
    <w:rsid w:val="00C700C9"/>
    <w:rsid w:val="00CE19AF"/>
    <w:rsid w:val="00D06E85"/>
    <w:rsid w:val="00D14252"/>
    <w:rsid w:val="00D7793A"/>
    <w:rsid w:val="00DA445D"/>
    <w:rsid w:val="00DB04CB"/>
    <w:rsid w:val="00DB42A5"/>
    <w:rsid w:val="00E50531"/>
    <w:rsid w:val="00F73033"/>
    <w:rsid w:val="00FB7B3B"/>
    <w:rsid w:val="00FC4CB0"/>
    <w:rsid w:val="00FE1428"/>
    <w:rsid w:val="00FF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502C8"/>
  <w14:defaultImageDpi w14:val="300"/>
  <w15:docId w15:val="{D5B7D8EE-74D5-459F-AFC5-EE78F457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9E3511" w:themeColor="hyperlink"/>
      <w:u w:val="single"/>
    </w:rPr>
  </w:style>
  <w:style w:type="character" w:styleId="PageNumber">
    <w:name w:val="page number"/>
    <w:basedOn w:val="DefaultParagraphFont"/>
    <w:uiPriority w:val="99"/>
    <w:semiHidden/>
    <w:unhideWhenUsed/>
    <w:rsid w:val="00F73033"/>
  </w:style>
  <w:style w:type="paragraph" w:styleId="ListParagraph">
    <w:name w:val="List Paragraph"/>
    <w:basedOn w:val="Normal"/>
    <w:uiPriority w:val="34"/>
    <w:qFormat/>
    <w:rsid w:val="00024E46"/>
    <w:pPr>
      <w:ind w:left="720"/>
      <w:contextualSpacing/>
    </w:pPr>
  </w:style>
  <w:style w:type="table" w:styleId="GridTable1Light-Accent1">
    <w:name w:val="Grid Table 1 Light Accent 1"/>
    <w:basedOn w:val="TableNormal"/>
    <w:uiPriority w:val="46"/>
    <w:rsid w:val="00024E46"/>
    <w:tblPr>
      <w:tblStyleRowBandSize w:val="1"/>
      <w:tblStyleColBandSize w:val="1"/>
      <w:tblBorders>
        <w:top w:val="single" w:sz="4" w:space="0" w:color="F1C3BD" w:themeColor="accent1" w:themeTint="66"/>
        <w:left w:val="single" w:sz="4" w:space="0" w:color="F1C3BD" w:themeColor="accent1" w:themeTint="66"/>
        <w:bottom w:val="single" w:sz="4" w:space="0" w:color="F1C3BD" w:themeColor="accent1" w:themeTint="66"/>
        <w:right w:val="single" w:sz="4" w:space="0" w:color="F1C3BD" w:themeColor="accent1" w:themeTint="66"/>
        <w:insideH w:val="single" w:sz="4" w:space="0" w:color="F1C3BD" w:themeColor="accent1" w:themeTint="66"/>
        <w:insideV w:val="single" w:sz="4" w:space="0" w:color="F1C3BD" w:themeColor="accent1" w:themeTint="66"/>
      </w:tblBorders>
    </w:tblPr>
    <w:tblStylePr w:type="firstRow">
      <w:rPr>
        <w:b/>
        <w:bCs/>
      </w:rPr>
      <w:tblPr/>
      <w:tcPr>
        <w:tcBorders>
          <w:bottom w:val="single" w:sz="12" w:space="0" w:color="EBA69D" w:themeColor="accent1" w:themeTint="99"/>
        </w:tcBorders>
      </w:tcPr>
    </w:tblStylePr>
    <w:tblStylePr w:type="lastRow">
      <w:rPr>
        <w:b/>
        <w:bCs/>
      </w:rPr>
      <w:tblPr/>
      <w:tcPr>
        <w:tcBorders>
          <w:top w:val="double" w:sz="2" w:space="0" w:color="EBA69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4E46"/>
    <w:tblPr>
      <w:tblStyleRowBandSize w:val="1"/>
      <w:tblStyleColBandSize w:val="1"/>
      <w:tblBorders>
        <w:top w:val="single" w:sz="4" w:space="0" w:color="E68D82" w:themeColor="accent2" w:themeTint="66"/>
        <w:left w:val="single" w:sz="4" w:space="0" w:color="E68D82" w:themeColor="accent2" w:themeTint="66"/>
        <w:bottom w:val="single" w:sz="4" w:space="0" w:color="E68D82" w:themeColor="accent2" w:themeTint="66"/>
        <w:right w:val="single" w:sz="4" w:space="0" w:color="E68D82" w:themeColor="accent2" w:themeTint="66"/>
        <w:insideH w:val="single" w:sz="4" w:space="0" w:color="E68D82" w:themeColor="accent2" w:themeTint="66"/>
        <w:insideV w:val="single" w:sz="4" w:space="0" w:color="E68D82" w:themeColor="accent2" w:themeTint="66"/>
      </w:tblBorders>
    </w:tblPr>
    <w:tblStylePr w:type="firstRow">
      <w:rPr>
        <w:b/>
        <w:bCs/>
      </w:rPr>
      <w:tblPr/>
      <w:tcPr>
        <w:tcBorders>
          <w:bottom w:val="single" w:sz="12" w:space="0" w:color="DA5445" w:themeColor="accent2" w:themeTint="99"/>
        </w:tcBorders>
      </w:tcPr>
    </w:tblStylePr>
    <w:tblStylePr w:type="lastRow">
      <w:rPr>
        <w:b/>
        <w:bCs/>
      </w:rPr>
      <w:tblPr/>
      <w:tcPr>
        <w:tcBorders>
          <w:top w:val="double" w:sz="2" w:space="0" w:color="DA5445" w:themeColor="accent2" w:themeTint="99"/>
        </w:tcBorders>
      </w:tcPr>
    </w:tblStylePr>
    <w:tblStylePr w:type="firstCol">
      <w:rPr>
        <w:b/>
        <w:bCs/>
      </w:rPr>
    </w:tblStylePr>
    <w:tblStylePr w:type="lastCol">
      <w:rPr>
        <w:b/>
        <w:bCs/>
      </w:rPr>
    </w:tblStylePr>
  </w:style>
  <w:style w:type="table" w:styleId="GridTable6Colorful-Accent4">
    <w:name w:val="Grid Table 6 Colorful Accent 4"/>
    <w:basedOn w:val="TableNormal"/>
    <w:uiPriority w:val="51"/>
    <w:rsid w:val="00024E46"/>
    <w:rPr>
      <w:color w:val="D85243" w:themeColor="accent4" w:themeShade="BF"/>
    </w:rPr>
    <w:tblPr>
      <w:tblStyleRowBandSize w:val="1"/>
      <w:tblStyleColBandSize w:val="1"/>
      <w:tblBorders>
        <w:top w:val="single" w:sz="4" w:space="0" w:color="F1C3BE" w:themeColor="accent4" w:themeTint="99"/>
        <w:left w:val="single" w:sz="4" w:space="0" w:color="F1C3BE" w:themeColor="accent4" w:themeTint="99"/>
        <w:bottom w:val="single" w:sz="4" w:space="0" w:color="F1C3BE" w:themeColor="accent4" w:themeTint="99"/>
        <w:right w:val="single" w:sz="4" w:space="0" w:color="F1C3BE" w:themeColor="accent4" w:themeTint="99"/>
        <w:insideH w:val="single" w:sz="4" w:space="0" w:color="F1C3BE" w:themeColor="accent4" w:themeTint="99"/>
        <w:insideV w:val="single" w:sz="4" w:space="0" w:color="F1C3BE" w:themeColor="accent4" w:themeTint="99"/>
      </w:tblBorders>
    </w:tblPr>
    <w:tblStylePr w:type="firstRow">
      <w:rPr>
        <w:b/>
        <w:bCs/>
      </w:rPr>
      <w:tblPr/>
      <w:tcPr>
        <w:tcBorders>
          <w:bottom w:val="single" w:sz="12" w:space="0" w:color="F1C3BE" w:themeColor="accent4" w:themeTint="99"/>
        </w:tcBorders>
      </w:tcPr>
    </w:tblStylePr>
    <w:tblStylePr w:type="lastRow">
      <w:rPr>
        <w:b/>
        <w:bCs/>
      </w:rPr>
      <w:tblPr/>
      <w:tcPr>
        <w:tcBorders>
          <w:top w:val="double" w:sz="4" w:space="0" w:color="F1C3BE" w:themeColor="accent4" w:themeTint="99"/>
        </w:tcBorders>
      </w:tcPr>
    </w:tblStylePr>
    <w:tblStylePr w:type="firstCol">
      <w:rPr>
        <w:b/>
        <w:bCs/>
      </w:rPr>
    </w:tblStylePr>
    <w:tblStylePr w:type="lastCol">
      <w:rPr>
        <w:b/>
        <w:bCs/>
      </w:rPr>
    </w:tblStylePr>
    <w:tblStylePr w:type="band1Vert">
      <w:tblPr/>
      <w:tcPr>
        <w:shd w:val="clear" w:color="auto" w:fill="FAEBE9" w:themeFill="accent4" w:themeFillTint="33"/>
      </w:tcPr>
    </w:tblStylePr>
    <w:tblStylePr w:type="band1Horz">
      <w:tblPr/>
      <w:tcPr>
        <w:shd w:val="clear" w:color="auto" w:fill="FAEBE9"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concu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E6B5C"/>
      </a:accent1>
      <a:accent2>
        <a:srgbClr val="742117"/>
      </a:accent2>
      <a:accent3>
        <a:srgbClr val="A28E6A"/>
      </a:accent3>
      <a:accent4>
        <a:srgbClr val="E99C93"/>
      </a:accent4>
      <a:accent5>
        <a:srgbClr val="918485"/>
      </a:accent5>
      <a:accent6>
        <a:srgbClr val="855D5D"/>
      </a:accent6>
      <a:hlink>
        <a:srgbClr val="9E3511"/>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DB00-A128-44AB-8744-6A409C5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Parachute</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Angela Ballantyne</cp:lastModifiedBy>
  <cp:revision>50</cp:revision>
  <cp:lastPrinted>2018-08-27T14:07:00Z</cp:lastPrinted>
  <dcterms:created xsi:type="dcterms:W3CDTF">2017-07-27T03:14:00Z</dcterms:created>
  <dcterms:modified xsi:type="dcterms:W3CDTF">2018-08-27T15:27:00Z</dcterms:modified>
</cp:coreProperties>
</file>